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32D01">
      <w:pPr>
        <w:spacing w:line="360" w:lineRule="auto"/>
        <w:jc w:val="center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48"/>
          <w:szCs w:val="48"/>
          <w:highlight w:val="yellow"/>
          <w:lang w:val="en-US" w:eastAsia="zh-CN"/>
        </w:rPr>
        <w:t>Token AI网关平台总管理后台</w:t>
      </w:r>
    </w:p>
    <w:p w14:paraId="525B485A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5A834BD2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第一章：首页</w:t>
      </w:r>
    </w:p>
    <w:p w14:paraId="6C527157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4D619874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9230" cy="2306955"/>
            <wp:effectExtent l="0" t="0" r="7620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0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6A7F1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多语言支持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：简体中文 | English | Русский</w:t>
      </w:r>
    </w:p>
    <w:p w14:paraId="1D8515E8">
      <w:pPr>
        <w:spacing w:line="360" w:lineRule="auto"/>
        <w:jc w:val="left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“各位好，今天为大家介绍 AiGate —— 一站式AI网关管理平台。它帮助企业统一接入各类AI模型，实现智能路由和精细化运营。</w:t>
      </w:r>
    </w:p>
    <w:p w14:paraId="3DF9A29D">
      <w:pPr>
        <w:spacing w:line="360" w:lineRule="auto"/>
        <w:jc w:val="left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平台支持简体中文、英文和俄语三语，定位全球化。”</w:t>
      </w:r>
    </w:p>
    <w:p w14:paraId="6E372AE8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117FCB7C">
      <w:pPr>
        <w:bidi w:val="0"/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08B7979B">
      <w:pPr>
        <w:bidi w:val="0"/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32E4FD11">
      <w:pPr>
        <w:bidi w:val="0"/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6F62BD57">
      <w:pPr>
        <w:bidi w:val="0"/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021E907A">
      <w:pPr>
        <w:bidi w:val="0"/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4714CC87">
      <w:pPr>
        <w:bidi w:val="0"/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27A695BF">
      <w:pPr>
        <w:bidi w:val="0"/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6955089D">
      <w:pPr>
        <w:bidi w:val="0"/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04FB01CF">
      <w:pPr>
        <w:bidi w:val="0"/>
        <w:spacing w:line="360" w:lineRule="auto"/>
        <w:jc w:val="left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第二章：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运营概览</w:t>
      </w:r>
    </w:p>
    <w:p w14:paraId="61DA1DF3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2880" cy="2185670"/>
            <wp:effectExtent l="0" t="0" r="1397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9DBAA">
      <w:pPr>
        <w:bidi w:val="0"/>
        <w:spacing w:line="360" w:lineRule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打开后台</w:t>
      </w:r>
      <w:r>
        <w:rPr>
          <w:rFonts w:hint="eastAsia" w:ascii="黑体" w:hAnsi="黑体" w:eastAsia="黑体" w:cs="黑体"/>
          <w:sz w:val="28"/>
          <w:szCs w:val="28"/>
        </w:rPr>
        <w:t>运营概览 —— 全局数据一目了然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：</w:t>
      </w:r>
    </w:p>
    <w:p w14:paraId="3C02800C">
      <w:pPr>
        <w:bidi w:val="0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👥 平台用户：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XX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 人</w:t>
      </w:r>
    </w:p>
    <w:p w14:paraId="158D8118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📊 今日请求：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XXXX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次</w:t>
      </w:r>
    </w:p>
    <w:p w14:paraId="0A89F2F1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💰 今日收入：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¥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XXXXX</w:t>
      </w:r>
    </w:p>
    <w:p w14:paraId="54F59ED5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✅ 可用渠道：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XXX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个</w:t>
      </w:r>
    </w:p>
    <w:p w14:paraId="136019C6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今日用量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：Token 输入与输出合计，账单按各模型价格分别结算</w:t>
      </w:r>
    </w:p>
    <w:p w14:paraId="58BCCEE0">
      <w:pPr>
        <w:pStyle w:val="6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线上检查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</w:t>
      </w:r>
    </w:p>
    <w:p w14:paraId="664E6EA0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数据库和 Redis ✅</w:t>
      </w:r>
    </w:p>
    <w:p w14:paraId="0A5C4461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至少配置一个上游渠道 ✅</w:t>
      </w:r>
    </w:p>
    <w:p w14:paraId="354C9BA0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创建或注册用户 ✅</w:t>
      </w:r>
    </w:p>
    <w:p w14:paraId="623861F8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183A58E9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79F1954F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42F893CF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55CC8CB4">
      <w:pPr>
        <w:spacing w:line="360" w:lineRule="auto"/>
        <w:jc w:val="left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第三章：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盈利分析</w:t>
      </w:r>
    </w:p>
    <w:p w14:paraId="7C448729">
      <w:pPr>
        <w:spacing w:line="360" w:lineRule="auto"/>
        <w:jc w:val="left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71135" cy="2316480"/>
            <wp:effectExtent l="0" t="0" r="5715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A6BC2">
      <w:pPr>
        <w:bidi w:val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盈利分析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</w:rPr>
        <w:t>按请求精细化核算</w:t>
      </w:r>
    </w:p>
    <w:p w14:paraId="5ED415FB">
      <w:pPr>
        <w:bidi w:val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核心数据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（用4个大数字卡片展示）：</w:t>
      </w:r>
    </w:p>
    <w:p w14:paraId="42568199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💰 结算收入：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¥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XXX</w:t>
      </w:r>
    </w:p>
    <w:p w14:paraId="1781085E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📊 上游成本：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¥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XXX</w:t>
      </w:r>
    </w:p>
    <w:p w14:paraId="69F3715B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💎 毛利：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¥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XXXX</w:t>
      </w:r>
    </w:p>
    <w:p w14:paraId="3B555ED4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📈 毛利率：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XXXX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%</w:t>
      </w:r>
    </w:p>
    <w:p w14:paraId="1BB1FC52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调用情况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XXX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次已完成调用，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XX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次为估算成本</w:t>
      </w:r>
    </w:p>
    <w:p w14:paraId="1306388E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成本完整性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：⚠️ 有1次调用缺少渠道成本，当前毛利可能偏高，可“前往模型路由补齐成本”</w:t>
      </w:r>
    </w:p>
    <w:p w14:paraId="32D6187A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筛选维度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：当天 / 近7天 / 近30天 / 近90天</w:t>
      </w:r>
    </w:p>
    <w:p w14:paraId="10818383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趋势图表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：每日盈利趋势柱状图（毛利 / 收入 / 上游成本）</w:t>
      </w:r>
    </w:p>
    <w:p w14:paraId="112B87D0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61CA2A57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6E541EDF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71808F45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27917C91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第四章：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资金对账</w:t>
      </w:r>
    </w:p>
    <w:p w14:paraId="7FC6E303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8595" cy="2314575"/>
            <wp:effectExtent l="0" t="0" r="825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92509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资金对账 —— 自动化风控，保障资金安全</w:t>
      </w:r>
    </w:p>
    <w:p w14:paraId="53889084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对账状态：✅ 关键资金账目一致，已完成14项检查，没有需要处理的异常</w:t>
      </w:r>
    </w:p>
    <w:p w14:paraId="2E1CEA60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设计原则：只提供证据，不自动修改账目</w:t>
      </w:r>
    </w:p>
    <w:p w14:paraId="19263425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检查范围（5大账本）：</w:t>
      </w:r>
    </w:p>
    <w:p w14:paraId="7805DB42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用户余额/账本净额：¥20.38 ✅</w:t>
      </w:r>
    </w:p>
    <w:p w14:paraId="04C07BC7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处理中预占：¥0.00</w:t>
      </w:r>
    </w:p>
    <w:p w14:paraId="482E359F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充值订单/充值账本：¥0.00</w:t>
      </w:r>
    </w:p>
    <w:p w14:paraId="3D6473C5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兑换码/兑换账本：¥0.00</w:t>
      </w:r>
    </w:p>
    <w:p w14:paraId="1177AFE0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邀请赠送/邀请账本：¥0.00</w:t>
      </w:r>
    </w:p>
    <w:p w14:paraId="6866356A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一致性检查明细（4项全部通过）：</w:t>
      </w:r>
    </w:p>
    <w:p w14:paraId="7D9DC787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✅ 用户余额与账本净额——每个用户当前余额等于全部账本流水金额之和</w:t>
      </w:r>
    </w:p>
    <w:p w14:paraId="6C546431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✅ 用户余额与最新账本——当前余额等于该用户最后一笔账本的balance_after</w:t>
      </w:r>
    </w:p>
    <w:p w14:paraId="40CA8F0D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✅ 请求预占与结算账本——处理中请求有预占，完成/失败请求账本净额等于实际费用</w:t>
      </w:r>
    </w:p>
    <w:p w14:paraId="1E040704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✅ 充值订单与入账流水——仅已支付订单有且只有一笔等额充值流水</w:t>
      </w:r>
    </w:p>
    <w:p w14:paraId="6B3E0D73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计算基准：基于PostgreSQL当前账目重新计算</w:t>
      </w:r>
    </w:p>
    <w:p w14:paraId="4A6C2A34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688F38F7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4072DDA2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788777F6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2F9E0338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05B3283E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7B9F58A6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2E592F51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4CD78C02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5D9660D8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70BB8254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4C16DDC0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6B30D59E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6628B771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603B2A12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77C8825F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47A40FA6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56DFE448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第五章：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计费分组</w:t>
      </w:r>
    </w:p>
    <w:p w14:paraId="00054B5A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72405" cy="2302510"/>
            <wp:effectExtent l="0" t="0" r="4445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0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02631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计费分组 —— 灵活定价，精准匹配客户层级</w:t>
      </w:r>
    </w:p>
    <w:p w14:paraId="634155E6">
      <w:pPr>
        <w:bidi w:val="0"/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核心规则：倍率只影响平台对用户的售价，不改变上游采购成本。调价仅影响请求，历史调用继续使用原始快照</w:t>
      </w:r>
    </w:p>
    <w:p w14:paraId="5C791E27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倍率说明：0.8=八折，1.0=标准价，1.2=加价20%</w:t>
      </w:r>
    </w:p>
    <w:p w14:paraId="3E9A2F72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生效机制：调价仅影响新请求，历史调用使用原始快照（固化），可追溯</w:t>
      </w:r>
    </w:p>
    <w:p w14:paraId="2EB1FD65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变更审计：变更原因必填（≥4个字符），写入审计记录</w:t>
      </w:r>
    </w:p>
    <w:p w14:paraId="3DAB7749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说明 ：</w:t>
      </w:r>
      <w:r>
        <w:rPr>
          <w:rFonts w:hint="eastAsia" w:ascii="黑体" w:hAnsi="黑体" w:eastAsia="黑体" w:cs="黑体"/>
          <w:sz w:val="28"/>
          <w:szCs w:val="28"/>
        </w:rPr>
        <w:t>为不同客户层级配置售价倍率；每次调用都会固化分组、倍率和最终单价。</w:t>
      </w:r>
    </w:p>
    <w:p w14:paraId="23B7552A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61059812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7D563AE4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46632AC5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2525D4A6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3DA06D8E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2A93239B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52B60E9B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第六章：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用户管理</w:t>
      </w:r>
    </w:p>
    <w:p w14:paraId="752A703E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9230" cy="2303145"/>
            <wp:effectExtent l="0" t="0" r="762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C9640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37DCE71E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drawing>
          <wp:inline distT="0" distB="0" distL="114300" distR="114300">
            <wp:extent cx="5271135" cy="2362835"/>
            <wp:effectExtent l="0" t="0" r="5715" b="18415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6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34E85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0820D2F8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支持</w:t>
      </w:r>
      <w:r>
        <w:rPr>
          <w:rFonts w:hint="eastAsia" w:ascii="黑体" w:hAnsi="黑体" w:eastAsia="黑体" w:cs="黑体"/>
          <w:sz w:val="28"/>
          <w:szCs w:val="28"/>
        </w:rPr>
        <w:t>创建用户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--</w:t>
      </w:r>
      <w:r>
        <w:rPr>
          <w:rFonts w:hint="eastAsia" w:ascii="黑体" w:hAnsi="黑体" w:eastAsia="黑体" w:cs="黑体"/>
          <w:sz w:val="28"/>
          <w:szCs w:val="28"/>
        </w:rPr>
        <w:t>用户管理 —— 精细化账户管控</w:t>
      </w:r>
    </w:p>
    <w:p w14:paraId="3EE672E1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全部账户：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XX</w:t>
      </w:r>
      <w:r>
        <w:rPr>
          <w:rFonts w:hint="eastAsia" w:ascii="黑体" w:hAnsi="黑体" w:eastAsia="黑体" w:cs="黑体"/>
          <w:sz w:val="28"/>
          <w:szCs w:val="28"/>
        </w:rPr>
        <w:t>个</w:t>
      </w:r>
    </w:p>
    <w:p w14:paraId="7509E81E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代理商用户：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XX</w:t>
      </w:r>
      <w:r>
        <w:rPr>
          <w:rFonts w:hint="eastAsia" w:ascii="黑体" w:hAnsi="黑体" w:eastAsia="黑体" w:cs="黑体"/>
          <w:sz w:val="28"/>
          <w:szCs w:val="28"/>
        </w:rPr>
        <w:t>个正常使用：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XX</w:t>
      </w:r>
      <w:r>
        <w:rPr>
          <w:rFonts w:hint="eastAsia" w:ascii="黑体" w:hAnsi="黑体" w:eastAsia="黑体" w:cs="黑体"/>
          <w:sz w:val="28"/>
          <w:szCs w:val="28"/>
        </w:rPr>
        <w:t>个已停用：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XX</w:t>
      </w:r>
      <w:r>
        <w:rPr>
          <w:rFonts w:hint="eastAsia" w:ascii="黑体" w:hAnsi="黑体" w:eastAsia="黑体" w:cs="黑体"/>
          <w:sz w:val="28"/>
          <w:szCs w:val="28"/>
        </w:rPr>
        <w:t>个</w:t>
      </w:r>
    </w:p>
    <w:p w14:paraId="108F6779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用户昵称（必填）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28"/>
        </w:rPr>
        <w:t>登录邮箱（必填）</w:t>
      </w:r>
    </w:p>
    <w:p w14:paraId="116ACA3D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手机号（可选，可稍后绑定）</w:t>
      </w:r>
    </w:p>
    <w:p w14:paraId="1E02ABA4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初始密码（至少6位）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密码不记得可以在登录页找回</w:t>
      </w:r>
    </w:p>
    <w:p w14:paraId="1E2A4773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用户列表字段：用户、身份、余额/计费、操作（详情/调整余额/计费）</w:t>
      </w:r>
    </w:p>
    <w:p w14:paraId="69018B02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审计机制：所有状态变更自动记录完整审计日志</w:t>
      </w:r>
    </w:p>
    <w:p w14:paraId="48DB0781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用户计费：支持单个用户设置模型的价格都不同</w:t>
      </w:r>
    </w:p>
    <w:p w14:paraId="14094F60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br w:type="page"/>
      </w:r>
    </w:p>
    <w:p w14:paraId="1D8C3047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0A1F1C3F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</w:p>
    <w:p w14:paraId="4551E7CB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17BE6C97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5E9F2E6B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28E1018B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第七章：代理商管理</w:t>
      </w:r>
    </w:p>
    <w:p w14:paraId="363B1BC8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4785" cy="2298700"/>
            <wp:effectExtent l="0" t="0" r="12065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B756C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56066042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账户信息：</w:t>
      </w:r>
    </w:p>
    <w:p w14:paraId="18C19D4F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邮箱（必填）</w:t>
      </w:r>
    </w:p>
    <w:p w14:paraId="234B2712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初始密码（至少6位，含字母和数字）</w:t>
      </w:r>
    </w:p>
    <w:p w14:paraId="5FCB534C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联系人、公司名称</w:t>
      </w:r>
    </w:p>
    <w:p w14:paraId="4CDD8C30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代理编号：留空自动生成</w:t>
      </w:r>
    </w:p>
    <w:p w14:paraId="2E4F2D6B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定价配置（核心亮点）：</w:t>
      </w:r>
    </w:p>
    <w:p w14:paraId="0313B318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平台批发倍率：0.85x（代理商拿货价）</w:t>
      </w:r>
    </w:p>
    <w:p w14:paraId="31F3FF6F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默认零售倍率：1.00x（代理商对客户售价）</w:t>
      </w:r>
    </w:p>
    <w:p w14:paraId="23BAA838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利润空间 = 零售倍率 - 批发倍率 = 0.15x</w:t>
      </w:r>
    </w:p>
    <w:p w14:paraId="18391E94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结算规则：</w:t>
      </w:r>
    </w:p>
    <w:p w14:paraId="408C8A15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佣金风控期：7天</w:t>
      </w:r>
    </w:p>
    <w:p w14:paraId="14A94613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最低结算金额：¥100.00</w:t>
      </w:r>
    </w:p>
    <w:p w14:paraId="784FDC83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初始状态：待审核（管理员审核后启用）</w:t>
      </w:r>
    </w:p>
    <w:p w14:paraId="7721F483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67065803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第八章：运行状态</w:t>
      </w:r>
    </w:p>
    <w:p w14:paraId="76FED611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9230" cy="2303145"/>
            <wp:effectExtent l="0" t="0" r="7620" b="19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808F7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运行状态 —— 平台健康实时可观测</w:t>
      </w:r>
    </w:p>
    <w:p w14:paraId="3B99156D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刷新机制：每30秒自动刷新</w:t>
      </w:r>
    </w:p>
    <w:p w14:paraId="042A0508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核心指标：</w:t>
      </w:r>
    </w:p>
    <w:p w14:paraId="2B5676A0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24小时成功率：0%（演示环境）</w:t>
      </w:r>
    </w:p>
    <w:p w14:paraId="56B2250E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P95响应时间：0ms</w:t>
      </w:r>
    </w:p>
    <w:p w14:paraId="7A7DA6A5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健康渠道：7/7（0个熔断中）</w:t>
      </w:r>
    </w:p>
    <w:p w14:paraId="369844F6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基础服务（全部正常）：</w:t>
      </w:r>
    </w:p>
    <w:p w14:paraId="3198E85D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PostgreSQL ✅</w:t>
      </w:r>
    </w:p>
    <w:p w14:paraId="1059E9EA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Redis ✅</w:t>
      </w:r>
    </w:p>
    <w:p w14:paraId="63D6F6D6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资金概览：</w:t>
      </w:r>
    </w:p>
    <w:p w14:paraId="43EC3681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今日平台收入：¥0.00</w:t>
      </w:r>
    </w:p>
    <w:p w14:paraId="48006FC9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今日充值入账：¥0.0</w:t>
      </w:r>
    </w:p>
    <w:p w14:paraId="0DD796E9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待审核充值：0笔</w:t>
      </w:r>
    </w:p>
    <w:p w14:paraId="54344DD0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用户余额合计：¥20.38</w:t>
      </w:r>
    </w:p>
    <w:p w14:paraId="4A36B87D">
      <w:pPr>
        <w:bidi w:val="0"/>
        <w:spacing w:line="24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24小时失败请求：0</w:t>
      </w:r>
    </w:p>
    <w:p w14:paraId="1DB2A10A">
      <w:pPr>
        <w:bidi w:val="0"/>
        <w:spacing w:line="24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连接容量：</w:t>
      </w:r>
    </w:p>
    <w:p w14:paraId="790AA968">
      <w:pPr>
        <w:bidi w:val="0"/>
        <w:spacing w:line="24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PostgreSQL：2/30</w:t>
      </w:r>
    </w:p>
    <w:p w14:paraId="1286A861">
      <w:pPr>
        <w:bidi w:val="0"/>
        <w:spacing w:line="24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Redis：0/6</w:t>
      </w:r>
    </w:p>
    <w:p w14:paraId="39E739BE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第九章：渠道管理</w:t>
      </w:r>
    </w:p>
    <w:p w14:paraId="1CD68AF8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4785" cy="2279650"/>
            <wp:effectExtent l="0" t="0" r="12065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3A10D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渠道与凭据管理 —— 灵活对接上游AI供应商</w:t>
      </w:r>
    </w:p>
    <w:p w14:paraId="0BBDB34F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多供应商接入：支持 OpenAI/兼容、DeepSeek 等多种 Provider</w:t>
      </w:r>
    </w:p>
    <w:p w14:paraId="7D6CBEF3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连接配置：自定义 BaseURL，路径由平台自动拼接</w:t>
      </w:r>
    </w:p>
    <w:p w14:paraId="31A87C02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当前规模：7个活动渠道全部正常运行</w:t>
      </w:r>
    </w:p>
    <w:p w14:paraId="1F07C729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负载均衡：按渠道优先级和权重分配请求，保障高可用</w:t>
      </w:r>
    </w:p>
    <w:p w14:paraId="55CF4FE6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并发控制：支持渠道总并发限制，防止上游过载</w:t>
      </w:r>
    </w:p>
    <w:p w14:paraId="0CA1DBF4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凭据池管理：每个渠道可配置多个 APIKey，支持批量检测与归档</w:t>
      </w:r>
    </w:p>
    <w:p w14:paraId="71923BAF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59475CBB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7EBFB0AF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63E6CD83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704C76DE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00163E63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第十章：模型路由</w:t>
      </w:r>
    </w:p>
    <w:p w14:paraId="03816B54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9230" cy="2171700"/>
            <wp:effectExtent l="0" t="0" r="762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C657B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模型路由 —— 统一管理AI模型能力与成本</w:t>
      </w:r>
    </w:p>
    <w:p w14:paraId="29659EE6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调用能力（声明模型支持的能力，网关按能力路由）：</w:t>
      </w:r>
    </w:p>
    <w:p w14:paraId="38696D88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Chat Completions（聊天对话）</w:t>
      </w:r>
    </w:p>
    <w:p w14:paraId="3C4BCF19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Responses（响应生成）</w:t>
      </w:r>
    </w:p>
    <w:p w14:paraId="76D2637F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图像理解</w:t>
      </w:r>
    </w:p>
    <w:p w14:paraId="6B71081E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Embeddings（向量嵌入）</w:t>
      </w:r>
    </w:p>
    <w:p w14:paraId="6B38643E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实时语音</w:t>
      </w:r>
    </w:p>
    <w:p w14:paraId="27DA84BB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模型类型：聊天 / 文本（决定接口分组和计算单位）</w:t>
      </w:r>
    </w:p>
    <w:p w14:paraId="51AD3FC4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定价配置（按百万Token计费）：</w:t>
      </w:r>
    </w:p>
    <w:p w14:paraId="505D70CC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输入价格：¥0 / 百万Token</w:t>
      </w:r>
    </w:p>
    <w:p w14:paraId="4E67F9D9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缓存输入价格：¥0 / 百万Token</w:t>
      </w:r>
    </w:p>
    <w:p w14:paraId="406A5E79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输出价格：¥0 / 百万Token</w:t>
      </w:r>
    </w:p>
    <w:p w14:paraId="017E53ED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容量配置：</w:t>
      </w:r>
    </w:p>
    <w:p w14:paraId="596624DB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上下文长度：100000</w:t>
      </w:r>
    </w:p>
    <w:p w14:paraId="04ED4D07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最大输出Token：4096</w:t>
      </w:r>
    </w:p>
    <w:p w14:paraId="5957088B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72E6FB9F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第十一章：充值订单</w:t>
      </w:r>
    </w:p>
    <w:p w14:paraId="66EB265F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9230" cy="2279650"/>
            <wp:effectExtent l="0" t="0" r="762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EC657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充值订单 —— 资金入口，自动+人工双重保障</w:t>
      </w:r>
    </w:p>
    <w:p w14:paraId="74A4F8EF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双通道入账：</w:t>
      </w:r>
    </w:p>
    <w:p w14:paraId="67B4F6DD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线下转账 → 财务人工审核</w:t>
      </w:r>
    </w:p>
    <w:p w14:paraId="2221642A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在线支付 → 验签回调/链上交易自动入账</w:t>
      </w:r>
    </w:p>
    <w:p w14:paraId="0E7FA94B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订单状态（全流程覆盖）：</w:t>
      </w:r>
    </w:p>
    <w:p w14:paraId="1533C08C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待审核 → 已入账 / 已驳回 / 已取消 / 已过</w:t>
      </w:r>
    </w:p>
    <w:p w14:paraId="286A7930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列表字段：订单/用户、金额、支付方式、状态、用户备注、付款流水、操作</w:t>
      </w:r>
    </w:p>
    <w:p w14:paraId="243E133B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数据导出：支持导出CSV，便于财务对账</w:t>
      </w:r>
    </w:p>
    <w:p w14:paraId="61D71E2F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当前状态：暂无充值订单（演示环境）</w:t>
      </w:r>
    </w:p>
    <w:p w14:paraId="0CF14FA7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51B6B8E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3C933F02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5D4AABED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7D2E9BBA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2FCA14DD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第十二章：邀请码</w:t>
      </w:r>
    </w:p>
    <w:p w14:paraId="7A5E26CC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71135" cy="2277745"/>
            <wp:effectExtent l="0" t="0" r="5715" b="825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FA245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邀请码 —— 安全可控的用户增长工具</w:t>
      </w:r>
    </w:p>
    <w:p w14:paraId="1B71F01A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核心用途：关闭公开注册时，通过邀请码控制新用户准入</w:t>
      </w:r>
    </w:p>
    <w:p w14:paraId="31328D00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配置项：</w:t>
      </w:r>
    </w:p>
    <w:p w14:paraId="1ABA6C0C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用途说明（例如：7月内测用户）</w:t>
      </w:r>
    </w:p>
    <w:p w14:paraId="2A0A2790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可用次数（如：1次）</w:t>
      </w:r>
    </w:p>
    <w:p w14:paraId="4DE91AE4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初始赠送余额（如：¥0）</w:t>
      </w:r>
    </w:p>
    <w:p w14:paraId="51EA2E93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有效期（推荐30天）</w:t>
      </w:r>
    </w:p>
    <w:p w14:paraId="706E5836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🔒 高安全设计：</w:t>
      </w:r>
    </w:p>
    <w:p w14:paraId="364C24C3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数据库只存储邀请码哈希值</w:t>
      </w:r>
    </w:p>
    <w:p w14:paraId="4A9E6E43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创建完成后无法再次查看明文</w:t>
      </w:r>
    </w:p>
    <w:p w14:paraId="219EE498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赠送余额生成独立账本流水，财务可追溯</w:t>
      </w:r>
    </w:p>
    <w:p w14:paraId="2760055F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7891243E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72FE6EAB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4D515734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76CFD7AC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1291E1D4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第十三章：余额兑换码</w:t>
      </w:r>
    </w:p>
    <w:p w14:paraId="54624D3E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6055" cy="2320290"/>
            <wp:effectExtent l="0" t="0" r="10795" b="381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A09EF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余额兑换码 —— 安全分发，灵活营销</w:t>
      </w:r>
    </w:p>
    <w:p w14:paraId="4370F515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批量生成：支持一次性生成多个兑换码，面额统一配置</w:t>
      </w:r>
    </w:p>
    <w:p w14:paraId="3E0F52D6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配置项：</w:t>
      </w:r>
    </w:p>
    <w:p w14:paraId="12B072AD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单码面额：¥XXX.00</w:t>
      </w:r>
    </w:p>
    <w:p w14:paraId="5EAB52EF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生成数量：XXX</w:t>
      </w:r>
    </w:p>
    <w:p w14:paraId="23FD206E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用途说明（例如：7月合作伙伴额度包）</w:t>
      </w:r>
    </w:p>
    <w:p w14:paraId="1C0C04A0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有效期：推荐30天，直接给用户兑换即可充值上余额。</w:t>
      </w:r>
    </w:p>
    <w:p w14:paraId="70565CBA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适用场景：合作伙伴额度包、客户赠送、市场活动</w:t>
      </w:r>
    </w:p>
    <w:p w14:paraId="72D33BBA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🔒 顶级安全设计：</w:t>
      </w:r>
    </w:p>
    <w:p w14:paraId="2A4D50B9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数据库只存储哈希值</w:t>
      </w:r>
    </w:p>
    <w:p w14:paraId="7D227D7C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批量明文生成后仅展示一次，关闭窗口后无法恢复</w:t>
      </w:r>
    </w:p>
    <w:p w14:paraId="75E96C00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数据统计：可兑换 / 已过期 / 未兑额度</w:t>
      </w:r>
    </w:p>
    <w:p w14:paraId="4D74681B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当前状态：暂无兑换码（演示环境）</w:t>
      </w:r>
    </w:p>
    <w:p w14:paraId="719D1B97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7D7891B5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21E9B08F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第十四章：</w:t>
      </w:r>
    </w:p>
    <w:p w14:paraId="55C83C53">
      <w:pPr>
        <w:spacing w:line="360" w:lineRule="auto"/>
        <w:jc w:val="left"/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71135" cy="2308860"/>
            <wp:effectExtent l="0" t="0" r="5715" b="1524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647950"/>
            <wp:effectExtent l="0" t="0" r="889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2727960"/>
            <wp:effectExtent l="0" t="0" r="3175" b="152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4E2CD">
      <w:pPr>
        <w:spacing w:line="360" w:lineRule="auto"/>
        <w:jc w:val="left"/>
        <w:rPr>
          <w:rFonts w:hint="eastAsia"/>
        </w:rPr>
      </w:pPr>
      <w:r>
        <w:drawing>
          <wp:inline distT="0" distB="0" distL="114300" distR="114300">
            <wp:extent cx="5272405" cy="2003425"/>
            <wp:effectExtent l="0" t="0" r="4445" b="1587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0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06655">
      <w:pPr>
        <w:spacing w:line="360" w:lineRule="auto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说明重要：全部设置在这边。邮件发送，关健字管理，在线充值配置（支付宝，微信，</w:t>
      </w:r>
      <w:r>
        <w:rPr>
          <w:rFonts w:hint="eastAsia" w:ascii="黑体" w:hAnsi="黑体" w:eastAsia="黑体" w:cs="黑体"/>
          <w:sz w:val="28"/>
          <w:szCs w:val="28"/>
        </w:rPr>
        <w:t>TRC-20 USDT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），充值规则，线上线下充值</w:t>
      </w:r>
    </w:p>
    <w:p w14:paraId="11E2D45C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624504A8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344EDAF1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6657801F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42559D6B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56FA4191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7F8D9464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6F1EEB5A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54DF56EC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7EF0F3EB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7FDF98EA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32C7437D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15CD9C03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0C2489C2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4EB25D9C">
      <w:pPr>
        <w:spacing w:line="360" w:lineRule="auto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166DE326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第十五章：</w:t>
      </w:r>
    </w:p>
    <w:p w14:paraId="55BA8D40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6055" cy="2289175"/>
            <wp:effectExtent l="0" t="0" r="10795" b="1587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28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2CA24">
      <w:pPr>
        <w:spacing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0076DA98">
      <w:pPr>
        <w:spacing w:line="360" w:lineRule="auto"/>
        <w:jc w:val="left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覆盖范围：资金、账户、渠道、模型、密钥等所有关键资源变更</w:t>
      </w:r>
    </w:p>
    <w:p w14:paraId="6C8E658E">
      <w:pPr>
        <w:spacing w:line="360" w:lineRule="auto"/>
        <w:jc w:val="left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检索能力：</w:t>
      </w:r>
    </w:p>
    <w:p w14:paraId="65B014BC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按操作者、事件类型、对象ID精确搜索</w:t>
      </w:r>
    </w:p>
    <w:p w14:paraId="0EA3F247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按时间范围筛选：24小时 / 7天 / 30天 / 90天 / 全部</w:t>
      </w:r>
    </w:p>
    <w:p w14:paraId="5F07AEC5">
      <w:pPr>
        <w:spacing w:line="360" w:lineRule="auto"/>
        <w:jc w:val="left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审计字段：时间、操作者、事件、对象、变更摘要、详情</w:t>
      </w:r>
    </w:p>
    <w:p w14:paraId="0B53197E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典型事件：路由风险发现 / 恢复（系统自动执行）</w:t>
      </w:r>
    </w:p>
    <w:p w14:paraId="1D46779C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追溯粒度：精确到具体 channel:id，可查数据导出：支持导出审计CSV</w:t>
      </w:r>
    </w:p>
    <w:p w14:paraId="49F5552F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74DEF327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379AF21F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23F9C333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6B2BDD81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29472265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3896BDAE">
      <w:pPr>
        <w:bidi w:val="0"/>
        <w:spacing w:line="360" w:lineRule="auto"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3F525837">
      <w:pPr>
        <w:bidi w:val="0"/>
        <w:spacing w:line="360" w:lineRule="auto"/>
        <w:jc w:val="center"/>
        <w:rPr>
          <w:rFonts w:hint="eastAsia" w:ascii="黑体" w:hAnsi="黑体" w:eastAsia="黑体" w:cs="黑体"/>
          <w:sz w:val="52"/>
          <w:szCs w:val="52"/>
          <w:highlight w:val="yellow"/>
          <w:lang w:val="en-US" w:eastAsia="zh-CN"/>
        </w:rPr>
      </w:pPr>
      <w:r>
        <w:rPr>
          <w:rFonts w:hint="eastAsia" w:ascii="黑体" w:hAnsi="黑体" w:eastAsia="黑体" w:cs="黑体"/>
          <w:sz w:val="52"/>
          <w:szCs w:val="52"/>
          <w:highlight w:val="yellow"/>
          <w:lang w:val="en-US" w:eastAsia="zh-CN"/>
        </w:rPr>
        <w:t>Token AI网关客户端演示</w:t>
      </w:r>
    </w:p>
    <w:p w14:paraId="3673CD53">
      <w:pPr>
        <w:bidi w:val="0"/>
        <w:spacing w:line="360" w:lineRule="auto"/>
        <w:jc w:val="left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第一章：</w:t>
      </w:r>
      <w:r>
        <w:rPr>
          <w:rFonts w:hint="eastAsia" w:ascii="黑体" w:hAnsi="黑体" w:eastAsia="黑体" w:cs="黑体"/>
          <w:color w:val="auto"/>
          <w:sz w:val="24"/>
          <w:szCs w:val="24"/>
          <w:highlight w:val="none"/>
          <w:lang w:val="en-US" w:eastAsia="zh-CN"/>
        </w:rPr>
        <w:t>登录页面</w:t>
      </w:r>
    </w:p>
    <w:p w14:paraId="2FC49199">
      <w:pPr>
        <w:bidi w:val="0"/>
        <w:spacing w:line="360" w:lineRule="auto"/>
        <w:jc w:val="left"/>
        <w:rPr>
          <w:rFonts w:hint="default" w:ascii="黑体" w:hAnsi="黑体" w:eastAsia="黑体" w:cs="黑体"/>
          <w:sz w:val="28"/>
          <w:szCs w:val="28"/>
          <w:highlight w:val="yellow"/>
          <w:lang w:val="en-US" w:eastAsia="zh-CN"/>
        </w:rPr>
      </w:pPr>
      <w:r>
        <w:drawing>
          <wp:inline distT="0" distB="0" distL="114300" distR="114300">
            <wp:extent cx="5261610" cy="2295525"/>
            <wp:effectExtent l="0" t="0" r="15240" b="952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2E611">
      <w:pPr>
        <w:bidi w:val="0"/>
        <w:spacing w:line="360" w:lineRule="auto"/>
        <w:jc w:val="left"/>
        <w:rPr>
          <w:rFonts w:hint="default" w:ascii="黑体" w:hAnsi="黑体" w:eastAsia="黑体" w:cs="黑体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主标题：token登录页面</w:t>
      </w:r>
    </w:p>
    <w:p w14:paraId="3483EBE9">
      <w:pPr>
        <w:bidi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副标题：一站式AI网关管理平台</w:t>
      </w:r>
    </w:p>
    <w:p w14:paraId="13CB9E1C">
      <w:pPr>
        <w:bidi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Slogan：统一接入 · 智能路由 · 精细运营</w:t>
      </w:r>
    </w:p>
    <w:p w14:paraId="5C473F26">
      <w:pPr>
        <w:bidi w:val="0"/>
        <w:spacing w:line="360" w:lineRule="auto"/>
        <w:jc w:val="left"/>
        <w:rPr>
          <w:rFonts w:hint="default" w:ascii="黑体" w:hAnsi="黑体" w:eastAsia="黑体" w:cs="黑体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登录方式：邮箱 + 密码（至少6位）支持</w:t>
      </w:r>
      <w:r>
        <w:rPr>
          <w:rFonts w:ascii="宋体" w:hAnsi="宋体" w:eastAsia="宋体" w:cs="宋体"/>
          <w:sz w:val="24"/>
          <w:szCs w:val="24"/>
          <w:highlight w:val="none"/>
        </w:rPr>
        <w:t>Google 登录</w:t>
      </w:r>
    </w:p>
    <w:p w14:paraId="594F1586">
      <w:pPr>
        <w:bidi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忘记密码：需要邮箱验证码找回，注册：需要邮箱验证码</w:t>
      </w:r>
    </w:p>
    <w:p w14:paraId="285F6FE3">
      <w:pPr>
        <w:bidi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平台支持简体中文、英文和俄语三语，定位全球化。</w:t>
      </w:r>
    </w:p>
    <w:p w14:paraId="23B8A080">
      <w:pPr>
        <w:bidi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</w:p>
    <w:p w14:paraId="4BC8D84B">
      <w:pPr>
        <w:bidi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</w:p>
    <w:p w14:paraId="7D3579BF">
      <w:pPr>
        <w:bidi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</w:p>
    <w:p w14:paraId="5F7BB21D">
      <w:pPr>
        <w:bidi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</w:p>
    <w:p w14:paraId="4387EF02">
      <w:pPr>
        <w:bidi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</w:p>
    <w:p w14:paraId="5144F995">
      <w:pPr>
        <w:bidi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</w:p>
    <w:p w14:paraId="5031117D">
      <w:pPr>
        <w:bidi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</w:p>
    <w:p w14:paraId="79E171B2">
      <w:pPr>
        <w:bidi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</w:p>
    <w:p w14:paraId="715A26E2">
      <w:pPr>
        <w:bidi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</w:p>
    <w:p w14:paraId="60668386">
      <w:pPr>
        <w:bidi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</w:p>
    <w:p w14:paraId="4B2A72C2">
      <w:pPr>
        <w:bidi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</w:pPr>
    </w:p>
    <w:p w14:paraId="0BC85259">
      <w:pPr>
        <w:bidi w:val="0"/>
        <w:spacing w:line="360" w:lineRule="auto"/>
        <w:jc w:val="left"/>
        <w:rPr>
          <w:rFonts w:hint="default" w:ascii="黑体" w:hAnsi="黑体" w:eastAsia="黑体" w:cs="黑体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第二章：控制台</w:t>
      </w:r>
    </w:p>
    <w:p w14:paraId="7B1BC45D">
      <w:pPr>
        <w:bidi w:val="0"/>
        <w:spacing w:line="360" w:lineRule="auto"/>
        <w:jc w:val="left"/>
      </w:pPr>
      <w:r>
        <w:drawing>
          <wp:inline distT="0" distB="0" distL="114300" distR="114300">
            <wp:extent cx="5273675" cy="2308225"/>
            <wp:effectExtent l="0" t="0" r="3175" b="15875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0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E2A6F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用户信息：XXXX</w:t>
      </w:r>
    </w:p>
    <w:p w14:paraId="08292115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💰 可用余额：¥0.00</w:t>
      </w:r>
    </w:p>
    <w:p w14:paraId="51532BB4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📊 今日消费：¥0.00</w:t>
      </w:r>
    </w:p>
    <w:p w14:paraId="466B90F2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📈 今日请求：0</w:t>
      </w:r>
    </w:p>
    <w:p w14:paraId="58859D6A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🔤 今日Token：0</w:t>
      </w:r>
    </w:p>
    <w:p w14:paraId="7878D116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本月统计：本月消费 ¥0.00</w:t>
      </w:r>
    </w:p>
    <w:p w14:paraId="45A1B49D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用量分析：实时统计成功与失败请求 / 输入与输出Token合计</w:t>
      </w:r>
    </w:p>
    <w:p w14:paraId="4FA3D9D2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APIKey管理：用于所有API调用，支持创建独立密钥（开发/生产环境）</w:t>
      </w:r>
    </w:p>
    <w:p w14:paraId="65172AF7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快速开始：</w:t>
      </w:r>
    </w:p>
    <w:p w14:paraId="2A60ECE6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API接入地址：https://ai.wujie.ltd/v1</w:t>
      </w:r>
    </w:p>
    <w:p w14:paraId="4AD17882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兼容OpenAI SDK，只需替换BaseURL和APIKey</w:t>
      </w:r>
    </w:p>
    <w:p w14:paraId="683E0AA8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浏览可用模型：查看模型能力、上下文和最新价格</w:t>
      </w:r>
    </w:p>
    <w:p w14:paraId="7E8654CD">
      <w:pPr>
        <w:bidi w:val="0"/>
        <w:spacing w:line="360" w:lineRule="auto"/>
        <w:jc w:val="left"/>
        <w:rPr>
          <w:rFonts w:hint="eastAsia"/>
          <w:lang w:val="en-US" w:eastAsia="zh-CN"/>
        </w:rPr>
      </w:pPr>
    </w:p>
    <w:p w14:paraId="7DB396B5">
      <w:pPr>
        <w:bidi w:val="0"/>
        <w:spacing w:line="360" w:lineRule="auto"/>
        <w:jc w:val="left"/>
        <w:rPr>
          <w:rFonts w:hint="eastAsia"/>
          <w:lang w:val="en-US" w:eastAsia="zh-CN"/>
        </w:rPr>
      </w:pPr>
    </w:p>
    <w:p w14:paraId="1582D869">
      <w:pPr>
        <w:bidi w:val="0"/>
        <w:spacing w:line="360" w:lineRule="auto"/>
        <w:jc w:val="left"/>
        <w:rPr>
          <w:rFonts w:hint="eastAsia"/>
          <w:lang w:val="en-US" w:eastAsia="zh-CN"/>
        </w:rPr>
      </w:pPr>
    </w:p>
    <w:p w14:paraId="52B2A684">
      <w:pPr>
        <w:bidi w:val="0"/>
        <w:spacing w:line="360" w:lineRule="auto"/>
        <w:jc w:val="left"/>
        <w:rPr>
          <w:rFonts w:hint="eastAsia"/>
          <w:lang w:val="en-US" w:eastAsia="zh-CN"/>
        </w:rPr>
      </w:pPr>
    </w:p>
    <w:p w14:paraId="63ACDBCA">
      <w:pPr>
        <w:bidi w:val="0"/>
        <w:spacing w:line="360" w:lineRule="auto"/>
        <w:jc w:val="left"/>
        <w:rPr>
          <w:rFonts w:hint="eastAsia"/>
          <w:lang w:val="en-US" w:eastAsia="zh-CN"/>
        </w:rPr>
      </w:pPr>
    </w:p>
    <w:p w14:paraId="77D68171">
      <w:pPr>
        <w:bidi w:val="0"/>
        <w:spacing w:line="360" w:lineRule="auto"/>
        <w:jc w:val="left"/>
        <w:rPr>
          <w:rFonts w:hint="eastAsia"/>
          <w:lang w:val="en-US" w:eastAsia="zh-CN"/>
        </w:rPr>
      </w:pPr>
    </w:p>
    <w:p w14:paraId="05D7FE67">
      <w:pPr>
        <w:bidi w:val="0"/>
        <w:spacing w:line="360" w:lineRule="auto"/>
        <w:jc w:val="left"/>
        <w:rPr>
          <w:rFonts w:hint="eastAsia"/>
          <w:lang w:val="en-US" w:eastAsia="zh-CN"/>
        </w:rPr>
      </w:pPr>
    </w:p>
    <w:p w14:paraId="65E26CD5">
      <w:pPr>
        <w:bidi w:val="0"/>
        <w:spacing w:line="360" w:lineRule="auto"/>
        <w:jc w:val="left"/>
        <w:rPr>
          <w:rFonts w:hint="eastAsia"/>
          <w:lang w:val="en-US" w:eastAsia="zh-CN"/>
        </w:rPr>
      </w:pPr>
    </w:p>
    <w:p w14:paraId="5044274A">
      <w:pPr>
        <w:bidi w:val="0"/>
        <w:spacing w:line="360" w:lineRule="auto"/>
        <w:jc w:val="left"/>
        <w:rPr>
          <w:rFonts w:hint="eastAsia"/>
          <w:lang w:val="en-US" w:eastAsia="zh-CN"/>
        </w:rPr>
      </w:pPr>
    </w:p>
    <w:p w14:paraId="5B2DF291">
      <w:pPr>
        <w:bidi w:val="0"/>
        <w:spacing w:line="360" w:lineRule="auto"/>
        <w:jc w:val="left"/>
      </w:pPr>
      <w:r>
        <w:rPr>
          <w:rFonts w:hint="eastAsia"/>
          <w:lang w:val="en-US" w:eastAsia="zh-CN"/>
        </w:rPr>
        <w:t>第三章：开始任务</w:t>
      </w:r>
      <w:r>
        <w:drawing>
          <wp:inline distT="0" distB="0" distL="114300" distR="114300">
            <wp:extent cx="5261610" cy="2289175"/>
            <wp:effectExtent l="0" t="0" r="15240" b="15875"/>
            <wp:docPr id="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28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18667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快捷场景（创意写作 / 数学与逻辑 / 编码 / 问答 / 翻译 / 情感疗愈）</w:t>
      </w:r>
    </w:p>
    <w:p w14:paraId="493B9EEB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提示语：“我们先从哪里开始呢？”</w:t>
      </w:r>
    </w:p>
    <w:p w14:paraId="0F589404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多语言支持：简体中文 / English / Русский</w:t>
      </w:r>
    </w:p>
    <w:p w14:paraId="7A9B7ECA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0E69F892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001D011A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40BC4E83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07BF7FE3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0720760E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4358B28F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35AA4629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483B92F1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160C23AF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609FDAD0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622A4E76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176A3C3A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2C903DAC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29875AEA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489D734D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40CE1F16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70DEEF62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54D57865">
      <w:pPr>
        <w:bidi w:val="0"/>
        <w:spacing w:line="360" w:lineRule="auto"/>
        <w:jc w:val="left"/>
      </w:pPr>
      <w:r>
        <w:rPr>
          <w:rFonts w:hint="eastAsia"/>
          <w:b/>
          <w:bCs/>
          <w:lang w:val="en-US" w:eastAsia="zh-CN"/>
        </w:rPr>
        <w:t>第四章：</w:t>
      </w:r>
      <w:r>
        <w:rPr>
          <w:rFonts w:hint="default"/>
          <w:lang w:val="en-US" w:eastAsia="zh-CN"/>
        </w:rPr>
        <w:t>余额与充值</w:t>
      </w:r>
      <w:r>
        <w:drawing>
          <wp:inline distT="0" distB="0" distL="114300" distR="114300">
            <wp:extent cx="5269865" cy="2280920"/>
            <wp:effectExtent l="0" t="0" r="6985" b="5080"/>
            <wp:docPr id="2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8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65B5B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页面标题</w:t>
      </w:r>
    </w:p>
    <w:p w14:paraId="5F42B8D1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余额与充值 —— 自助充值，自动到账</w:t>
      </w:r>
    </w:p>
    <w:p w14:paraId="02B54D52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可用余额：¥17.437387（精确到6位小数）</w:t>
      </w:r>
    </w:p>
    <w:p w14:paraId="580E263A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充值方式：微信、支付宝、TRC-20,线下人工充值</w:t>
      </w:r>
    </w:p>
    <w:p w14:paraId="459F047D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在线充值规则：</w:t>
      </w:r>
    </w:p>
    <w:p w14:paraId="6ABA4CB7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单笔金额：¥1.00 至 ¥100,000.00</w:t>
      </w:r>
    </w:p>
    <w:p w14:paraId="4A361275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订单有效期：24小时</w:t>
      </w:r>
    </w:p>
    <w:p w14:paraId="49F8C496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平台确认后余额自动到账</w:t>
      </w:r>
    </w:p>
    <w:p w14:paraId="00B63268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账本流水：</w:t>
      </w:r>
    </w:p>
    <w:p w14:paraId="10F6FE0C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充值订单：19笔</w:t>
      </w:r>
    </w:p>
    <w:p w14:paraId="179C1AAC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账本流水：176条</w:t>
      </w:r>
    </w:p>
    <w:p w14:paraId="5E6FA309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入账方式：在线支付验签或链上确认后自动入账</w:t>
      </w:r>
    </w:p>
    <w:p w14:paraId="7B35C642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订单记录：订单号 / 金额 / 支付方式 / 状态 / 付款流水 / 有效期 / 操作</w:t>
      </w:r>
    </w:p>
    <w:p w14:paraId="7B3B3F64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21F8E740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6E989DF2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0049ACF4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349D27DA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3880E291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1BB101B4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4C081ACC">
      <w:pPr>
        <w:bidi w:val="0"/>
        <w:spacing w:line="360" w:lineRule="auto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第五章：</w:t>
      </w:r>
      <w:r>
        <w:rPr>
          <w:rFonts w:hint="default"/>
          <w:lang w:val="en-US" w:eastAsia="zh-CN"/>
        </w:rPr>
        <w:t>用量分析</w:t>
      </w:r>
    </w:p>
    <w:p w14:paraId="0160E4C2">
      <w:pPr>
        <w:bidi w:val="0"/>
        <w:spacing w:line="360" w:lineRule="auto"/>
        <w:jc w:val="left"/>
      </w:pPr>
      <w:r>
        <w:drawing>
          <wp:inline distT="0" distB="0" distL="114300" distR="114300">
            <wp:extent cx="5264785" cy="2291080"/>
            <wp:effectExtent l="0" t="0" r="12065" b="13970"/>
            <wp:docPr id="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710B1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用量分析 —— 实时掌握AI调用成本</w:t>
      </w:r>
    </w:p>
    <w:p w14:paraId="3446D6EB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核心指标（4个卡片）：</w:t>
      </w:r>
    </w:p>
    <w:p w14:paraId="5C993A57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📊 请求数：XX 次</w:t>
      </w:r>
    </w:p>
    <w:p w14:paraId="307344A9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📈 成功率：44.83%（成功39 / 失败48）</w:t>
      </w:r>
    </w:p>
    <w:p w14:paraId="22866277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🔤 Token明细：24,153（输入19,049 / 输出5,104 / 缓存15,360）</w:t>
      </w:r>
    </w:p>
    <w:p w14:paraId="18343296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💰 实际费用：¥4.562613</w:t>
      </w:r>
    </w:p>
    <w:p w14:paraId="17B27143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性能指标：P95延迟 17,286ms</w:t>
      </w:r>
    </w:p>
    <w:p w14:paraId="72ED277D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筛选维度：当天 / 近7天 / 近30天 / 近90天</w:t>
      </w:r>
    </w:p>
    <w:p w14:paraId="3C32966C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趋势图表：每日趋势（费用 / Token / 请求）</w:t>
      </w:r>
    </w:p>
    <w:p w14:paraId="35B841B2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数据说明：按本地自然日统计，处理中请求不计入统计</w:t>
      </w:r>
    </w:p>
    <w:p w14:paraId="4177DFAD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78B5FE1E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233C1054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4251C0D7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17A11567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6F3E272D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2FED45F7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47721417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56BD3897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33A1EC8C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07CDAD38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373885BA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5C41D32C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第六章：</w:t>
      </w:r>
      <w:r>
        <w:rPr>
          <w:rFonts w:hint="default"/>
          <w:lang w:val="en-US" w:eastAsia="zh-CN"/>
        </w:rPr>
        <w:t>APIKey管理</w:t>
      </w:r>
    </w:p>
    <w:p w14:paraId="085A791F">
      <w:pPr>
        <w:bidi w:val="0"/>
        <w:spacing w:line="360" w:lineRule="auto"/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5273675" cy="2316480"/>
            <wp:effectExtent l="0" t="0" r="3175" b="7620"/>
            <wp:docPr id="2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A8691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2DD2A2F3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APIKey管理 —— 为不同应用创建独立密钥</w:t>
      </w:r>
    </w:p>
    <w:p w14:paraId="630C6A6A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247584E3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密钥名称：例如“生产环境”</w:t>
      </w:r>
    </w:p>
    <w:p w14:paraId="20F87038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独立额度（可选）：留空表示跟随账户余额</w:t>
      </w:r>
    </w:p>
    <w:p w14:paraId="24B3E435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额度周期：累计，不自动重置</w:t>
      </w:r>
    </w:p>
    <w:p w14:paraId="0A64168E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调用限制：</w:t>
      </w:r>
    </w:p>
    <w:p w14:paraId="14770376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每分钟请求：60 0次</w:t>
      </w:r>
    </w:p>
    <w:p w14:paraId="7334307C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每分钟Token：100,000 TPM</w:t>
      </w:r>
    </w:p>
    <w:p w14:paraId="1C91CB74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最大并发：1000 个</w:t>
      </w:r>
    </w:p>
    <w:p w14:paraId="64E89EFC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有效期：推荐 90天</w:t>
      </w:r>
    </w:p>
    <w:p w14:paraId="2A8E06FD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访问策略：允许的来源IP/CIDR（留空允许全部网络，每行一个）</w:t>
      </w:r>
    </w:p>
    <w:p w14:paraId="528A9EF5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操作入口：创建APIKey / 管理现有密钥</w:t>
      </w:r>
    </w:p>
    <w:p w14:paraId="4A6193BE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5C4576DE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7B51A752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027F827A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7605813F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591C1FA4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127F4426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5422CCF2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2FBE889C">
      <w:pPr>
        <w:bidi w:val="0"/>
        <w:spacing w:line="360" w:lineRule="auto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第七章：</w:t>
      </w:r>
      <w:r>
        <w:rPr>
          <w:rFonts w:hint="default"/>
          <w:lang w:val="en-US" w:eastAsia="zh-CN"/>
        </w:rPr>
        <w:t>模型与价格</w:t>
      </w:r>
    </w:p>
    <w:p w14:paraId="518695B3">
      <w:pPr>
        <w:bidi w:val="0"/>
        <w:spacing w:line="360" w:lineRule="auto"/>
        <w:jc w:val="left"/>
      </w:pPr>
      <w:r>
        <w:drawing>
          <wp:inline distT="0" distB="0" distL="114300" distR="114300">
            <wp:extent cx="5272405" cy="2272665"/>
            <wp:effectExtent l="0" t="0" r="4445" b="13335"/>
            <wp:docPr id="2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7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DE735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模型与价格 —— 透明定价，按真实用量结算</w:t>
      </w:r>
    </w:p>
    <w:p w14:paraId="0AD936B4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正文文案</w:t>
      </w:r>
    </w:p>
    <w:p w14:paraId="6E4B4644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模型分类：全部模型 / 聊天模型 / 图文模型 / 视频模型 / 图像生成 / 向量模型 / 实时语音</w:t>
      </w:r>
    </w:p>
    <w:p w14:paraId="1C6A8A55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当前可用模型：</w:t>
      </w:r>
    </w:p>
    <w:p w14:paraId="73A33C96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deepseek-v4-flash：</w:t>
      </w:r>
    </w:p>
    <w:p w14:paraId="6AF307E1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输入价格：¥1.35 / 百万Token</w:t>
      </w:r>
    </w:p>
    <w:p w14:paraId="735E1DC6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缓存输入：¥0.045 / 百万Token</w:t>
      </w:r>
    </w:p>
    <w:p w14:paraId="42629959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输出价格：¥4.05 / 百万Token</w:t>
      </w:r>
    </w:p>
    <w:p w14:paraId="6C87E4C6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上下文：128K</w:t>
      </w:r>
    </w:p>
    <w:p w14:paraId="354C9D2F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最大输出：4,096</w:t>
      </w:r>
    </w:p>
    <w:p w14:paraId="6A31A0C1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deepseek-v4-pro：</w:t>
      </w:r>
    </w:p>
    <w:p w14:paraId="1569FE8A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输入价格：¥4.00 / 百万Token</w:t>
      </w:r>
    </w:p>
    <w:p w14:paraId="19E04A61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缓存输入：¥0.10 / 百万Token</w:t>
      </w:r>
    </w:p>
    <w:p w14:paraId="071DE839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输出价格：¥8.00 / 百万Token</w:t>
      </w:r>
    </w:p>
    <w:p w14:paraId="3BF420FF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上下文：128K</w:t>
      </w:r>
    </w:p>
    <w:p w14:paraId="38076E2F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最大输出：4,096</w:t>
      </w:r>
    </w:p>
    <w:p w14:paraId="5B526F9D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核心机制：调用时固化价格快照，最终账单按上游真实用量结算</w:t>
      </w:r>
    </w:p>
    <w:p w14:paraId="60150588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费用试算：支持试算功能，预估调用成本</w:t>
      </w:r>
    </w:p>
    <w:p w14:paraId="47474532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0B6EEB7E">
      <w:pPr>
        <w:bidi w:val="0"/>
        <w:spacing w:line="360" w:lineRule="auto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第八章：</w:t>
      </w:r>
    </w:p>
    <w:p w14:paraId="0B46C2D9">
      <w:pPr>
        <w:bidi w:val="0"/>
        <w:spacing w:line="360" w:lineRule="auto"/>
        <w:jc w:val="left"/>
      </w:pPr>
      <w:r>
        <w:drawing>
          <wp:inline distT="0" distB="0" distL="114300" distR="114300">
            <wp:extent cx="5262880" cy="2302510"/>
            <wp:effectExtent l="0" t="0" r="13970" b="2540"/>
            <wp:docPr id="2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30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F7076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调用日志 —— 逐笔核对，全程可追溯</w:t>
      </w:r>
    </w:p>
    <w:p w14:paraId="3D7B7407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499D69B6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数据导出：支持导出CSV</w:t>
      </w:r>
    </w:p>
    <w:p w14:paraId="030185B8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筛选能力：</w:t>
      </w:r>
    </w:p>
    <w:p w14:paraId="195C535D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搜索请求ID</w:t>
      </w:r>
    </w:p>
    <w:p w14:paraId="44B1C2E2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按模型筛选（全部模型）</w:t>
      </w:r>
    </w:p>
    <w:p w14:paraId="4DE52B5A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时间范围（开始日期至结束日期）</w:t>
      </w:r>
    </w:p>
    <w:p w14:paraId="2AD5BE47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按状态筛选：成功 / 失败 / 核查中 / 处理中</w:t>
      </w:r>
    </w:p>
    <w:p w14:paraId="4C54C861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日志字段：时间 / 模型 / APIKey / 接口 / 状态 / 用量 / 耗时 / 费用 / 操作</w:t>
      </w:r>
    </w:p>
    <w:p w14:paraId="21EB27DF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示例数据：</w:t>
      </w:r>
    </w:p>
    <w:p w14:paraId="6D5079ED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模型：XXXX</w:t>
      </w:r>
    </w:p>
    <w:p w14:paraId="54C651CA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接口：/sl/chat/completions·流式</w:t>
      </w:r>
    </w:p>
    <w:p w14:paraId="647CB949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状态：成功</w:t>
      </w:r>
    </w:p>
    <w:p w14:paraId="25A194ED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用量：4,401 Token</w:t>
      </w:r>
    </w:p>
    <w:p w14:paraId="685D99C0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耗时：5,591ms</w:t>
      </w:r>
    </w:p>
    <w:p w14:paraId="033C6DBC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费用：¥0.0018</w:t>
      </w:r>
    </w:p>
    <w:p w14:paraId="4AD17982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隐私说明：请求正文与模型回复默认不保存</w:t>
      </w:r>
    </w:p>
    <w:p w14:paraId="5CE23576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567F4FD6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5F3BC2BF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529725A5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33C9943A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400D9892">
      <w:pPr>
        <w:bidi w:val="0"/>
        <w:spacing w:line="360" w:lineRule="auto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第九章：</w:t>
      </w:r>
    </w:p>
    <w:p w14:paraId="4FBF76DA">
      <w:pPr>
        <w:bidi w:val="0"/>
        <w:spacing w:line="360" w:lineRule="auto"/>
        <w:jc w:val="left"/>
      </w:pPr>
      <w:r>
        <w:drawing>
          <wp:inline distT="0" distB="0" distL="114300" distR="114300">
            <wp:extent cx="5262880" cy="2386330"/>
            <wp:effectExtent l="0" t="0" r="13970" b="13970"/>
            <wp:docPr id="2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3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216C3">
      <w:pPr>
        <w:bidi w:val="0"/>
        <w:spacing w:line="360" w:lineRule="auto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账户安全 —— 多重防护，保障账户安全</w:t>
      </w:r>
    </w:p>
    <w:p w14:paraId="40046A98">
      <w:pPr>
        <w:bidi w:val="0"/>
        <w:spacing w:line="360" w:lineRule="auto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身份验证器：未启用（建议所有管理员启用）</w:t>
      </w:r>
    </w:p>
    <w:p w14:paraId="0AFF162C">
      <w:pPr>
        <w:bidi w:val="0"/>
        <w:spacing w:line="360" w:lineRule="auto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双重验证（2FA）：</w:t>
      </w:r>
    </w:p>
    <w:p w14:paraId="0CD8401C">
      <w:pPr>
        <w:bidi w:val="0"/>
        <w:spacing w:line="360" w:lineRule="auto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登录时增加一次动态验证</w:t>
      </w:r>
    </w:p>
    <w:p w14:paraId="5BD1DE0B">
      <w:pPr>
        <w:bidi w:val="0"/>
        <w:spacing w:line="360" w:lineRule="auto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防止密码泄露导致账户被接管</w:t>
      </w:r>
    </w:p>
    <w:p w14:paraId="7CE8D64F">
      <w:pPr>
        <w:bidi w:val="0"/>
        <w:spacing w:line="360" w:lineRule="auto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 Google Authenticator、Microsoft Authenticator、1Password 等标准TOTP应用</w:t>
      </w:r>
    </w:p>
    <w:p w14:paraId="686B9887">
      <w:pPr>
        <w:bidi w:val="0"/>
        <w:spacing w:line="360" w:lineRule="auto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登录设备管理：</w:t>
      </w:r>
    </w:p>
    <w:p w14:paraId="258E11F0">
      <w:pPr>
        <w:bidi w:val="0"/>
        <w:spacing w:line="360" w:lineRule="auto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可“退出其他设备”，撤销后该设备网页请求立即失效</w:t>
      </w:r>
    </w:p>
    <w:p w14:paraId="0987B598">
      <w:pPr>
        <w:bidi w:val="0"/>
        <w:spacing w:line="360" w:lineRule="auto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当前设备：Windows · Firefox（IP 120.231.252.52，有效期至2026年9月22日）</w:t>
      </w:r>
    </w:p>
    <w:p w14:paraId="03B3106F">
      <w:pPr>
        <w:bidi w:val="0"/>
        <w:spacing w:line="360" w:lineRule="auto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其他设备：iPhone · Safari（IP 14.26.201.107，有效期至2026年9月20日）</w:t>
      </w:r>
    </w:p>
    <w:p w14:paraId="6424745A">
      <w:pPr>
        <w:bidi w:val="0"/>
        <w:spacing w:line="360" w:lineRule="auto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安全功能：管理密码、双重验证，，使用余额提醒，个有资料修改</w:t>
      </w:r>
    </w:p>
    <w:p w14:paraId="35EB70E4">
      <w:pPr>
        <w:bidi w:val="0"/>
        <w:spacing w:line="360" w:lineRule="auto"/>
        <w:jc w:val="left"/>
        <w:rPr>
          <w:rFonts w:hint="eastAsia"/>
          <w:lang w:val="en-US" w:eastAsia="zh-CN"/>
        </w:rPr>
      </w:pPr>
    </w:p>
    <w:p w14:paraId="7314E2D2">
      <w:pPr>
        <w:bidi w:val="0"/>
        <w:spacing w:line="360" w:lineRule="auto"/>
        <w:jc w:val="left"/>
        <w:rPr>
          <w:rFonts w:hint="eastAsia"/>
          <w:lang w:val="en-US" w:eastAsia="zh-CN"/>
        </w:rPr>
      </w:pPr>
    </w:p>
    <w:p w14:paraId="14274536">
      <w:pPr>
        <w:bidi w:val="0"/>
        <w:spacing w:line="360" w:lineRule="auto"/>
        <w:jc w:val="left"/>
        <w:rPr>
          <w:rFonts w:hint="eastAsia"/>
          <w:lang w:val="en-US" w:eastAsia="zh-CN"/>
        </w:rPr>
      </w:pPr>
    </w:p>
    <w:p w14:paraId="16AAA02B">
      <w:pPr>
        <w:bidi w:val="0"/>
        <w:spacing w:line="360" w:lineRule="auto"/>
        <w:jc w:val="left"/>
        <w:rPr>
          <w:rFonts w:hint="eastAsia"/>
          <w:lang w:val="en-US" w:eastAsia="zh-CN"/>
        </w:rPr>
      </w:pPr>
    </w:p>
    <w:p w14:paraId="6A884E0A">
      <w:pPr>
        <w:bidi w:val="0"/>
        <w:spacing w:line="360" w:lineRule="auto"/>
        <w:jc w:val="left"/>
        <w:rPr>
          <w:rFonts w:hint="eastAsia"/>
          <w:lang w:val="en-US" w:eastAsia="zh-CN"/>
        </w:rPr>
      </w:pPr>
    </w:p>
    <w:p w14:paraId="5C06429E">
      <w:pPr>
        <w:bidi w:val="0"/>
        <w:spacing w:line="360" w:lineRule="auto"/>
        <w:jc w:val="left"/>
        <w:rPr>
          <w:rFonts w:hint="eastAsia"/>
          <w:lang w:val="en-US" w:eastAsia="zh-CN"/>
        </w:rPr>
      </w:pPr>
    </w:p>
    <w:p w14:paraId="5CF6169C">
      <w:pPr>
        <w:bidi w:val="0"/>
        <w:spacing w:line="360" w:lineRule="auto"/>
        <w:jc w:val="left"/>
        <w:rPr>
          <w:rFonts w:hint="eastAsia"/>
          <w:lang w:val="en-US" w:eastAsia="zh-CN"/>
        </w:rPr>
      </w:pPr>
    </w:p>
    <w:p w14:paraId="6A02DC71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highlight w:val="yellow"/>
          <w:shd w:val="clear" w:fill="FFFFFF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highlight w:val="yellow"/>
          <w:shd w:val="clear" w:fill="FFFFFF"/>
        </w:rPr>
        <w:t>代理商工作台</w:t>
      </w:r>
    </w:p>
    <w:p w14:paraId="1B4B9B50">
      <w:pP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highlight w:val="yellow"/>
          <w:shd w:val="clear" w:fill="FFFFFF"/>
        </w:rPr>
      </w:pPr>
    </w:p>
    <w:p w14:paraId="49E1D890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4785" cy="2267585"/>
            <wp:effectExtent l="0" t="0" r="12065" b="18415"/>
            <wp:docPr id="2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BA531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代理商工作台 —— 渠道分销与客户管理</w:t>
      </w:r>
    </w:p>
    <w:p w14:paraId="106AD4DC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页面定位：代理商专属工作台，管理客户、定价、推广与佣金</w:t>
      </w:r>
    </w:p>
    <w:p w14:paraId="1F77AAB7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功能菜单：</w:t>
      </w:r>
    </w:p>
    <w:p w14:paraId="794076DB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经营概览（数据总览）</w:t>
      </w:r>
    </w:p>
    <w:p w14:paraId="5B25DB10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客户管理（管理下级客户）</w:t>
      </w:r>
    </w:p>
    <w:p w14:paraId="30D437B5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零售定价（配置客户售价）</w:t>
      </w:r>
    </w:p>
    <w:p w14:paraId="15303054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推广链接（生成推广渠道）</w:t>
      </w:r>
    </w:p>
    <w:p w14:paraId="48EC7190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佣金流水（查看收益明细）</w:t>
      </w:r>
    </w:p>
    <w:p w14:paraId="1D367198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结算管理（申请与查看结算）</w:t>
      </w:r>
    </w:p>
    <w:p w14:paraId="7C4F987E">
      <w:pPr>
        <w:bidi w:val="0"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账户安全（安全设置）</w:t>
      </w:r>
    </w:p>
    <w:p w14:paraId="547E95CA">
      <w:pPr>
        <w:bidi w:val="0"/>
        <w:spacing w:line="360" w:lineRule="auto"/>
        <w:jc w:val="left"/>
        <w:rPr>
          <w:rFonts w:hint="default"/>
          <w:lang w:val="en-US" w:eastAsia="zh-CN"/>
        </w:rPr>
      </w:pPr>
    </w:p>
    <w:p w14:paraId="648D776D">
      <w:pPr>
        <w:bidi w:val="0"/>
        <w:spacing w:line="360" w:lineRule="auto"/>
        <w:jc w:val="center"/>
        <w:rPr>
          <w:rFonts w:hint="eastAsia"/>
          <w:b/>
          <w:bCs/>
          <w:sz w:val="52"/>
          <w:szCs w:val="52"/>
          <w:highlight w:val="yellow"/>
          <w:lang w:val="en-US" w:eastAsia="zh-CN"/>
        </w:rPr>
      </w:pPr>
      <w:r>
        <w:rPr>
          <w:rFonts w:hint="eastAsia"/>
          <w:b/>
          <w:bCs/>
          <w:sz w:val="52"/>
          <w:szCs w:val="52"/>
          <w:highlight w:val="yellow"/>
          <w:lang w:val="en-US" w:eastAsia="zh-CN"/>
        </w:rPr>
        <w:t>客户端下载的软件版本：</w:t>
      </w:r>
    </w:p>
    <w:p w14:paraId="7B24FDD7">
      <w:pPr>
        <w:bidi w:val="0"/>
        <w:spacing w:line="360" w:lineRule="auto"/>
        <w:jc w:val="left"/>
        <w:rPr>
          <w:rFonts w:hint="eastAsia"/>
          <w:b/>
          <w:bCs/>
          <w:highlight w:val="yellow"/>
          <w:lang w:val="en-US" w:eastAsia="zh-CN"/>
        </w:rPr>
      </w:pPr>
      <w:bookmarkStart w:id="0" w:name="_GoBack"/>
      <w:bookmarkEnd w:id="0"/>
    </w:p>
    <w:p w14:paraId="048A84EB">
      <w:pPr>
        <w:bidi w:val="0"/>
        <w:spacing w:line="360" w:lineRule="auto"/>
        <w:jc w:val="left"/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drawing>
          <wp:inline distT="0" distB="0" distL="114300" distR="114300">
            <wp:extent cx="5266690" cy="3335655"/>
            <wp:effectExtent l="0" t="0" r="10160" b="17145"/>
            <wp:docPr id="30" name="图片 30" descr="9de2f134bfe27c8ef127d25bb0d5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9de2f134bfe27c8ef127d25bb0d5006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3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6E2C0">
      <w:pPr>
        <w:bidi w:val="0"/>
        <w:spacing w:line="360" w:lineRule="auto"/>
        <w:jc w:val="left"/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drawing>
          <wp:inline distT="0" distB="0" distL="114300" distR="114300">
            <wp:extent cx="5248910" cy="3065145"/>
            <wp:effectExtent l="0" t="0" r="8890" b="1905"/>
            <wp:docPr id="31" name="图片 31" descr="4c7fda87c37435fa1be86c794c179a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4c7fda87c37435fa1be86c794c179a5a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306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4F4FD">
      <w:pPr>
        <w:bidi w:val="0"/>
        <w:spacing w:line="360" w:lineRule="auto"/>
        <w:jc w:val="left"/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drawing>
          <wp:inline distT="0" distB="0" distL="114300" distR="114300">
            <wp:extent cx="5266690" cy="3335655"/>
            <wp:effectExtent l="0" t="0" r="10160" b="17145"/>
            <wp:docPr id="32" name="图片 32" descr="0e3c8fc66b067a83fa03557b35684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0e3c8fc66b067a83fa03557b3568460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3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EA8B3">
      <w:pPr>
        <w:bidi w:val="0"/>
        <w:spacing w:line="360" w:lineRule="auto"/>
        <w:jc w:val="left"/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drawing>
          <wp:inline distT="0" distB="0" distL="114300" distR="114300">
            <wp:extent cx="5266690" cy="3335655"/>
            <wp:effectExtent l="0" t="0" r="10160" b="17145"/>
            <wp:docPr id="33" name="图片 33" descr="63b7fedc2616a3edea5e2fd854fa7f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63b7fedc2616a3edea5e2fd854fa7f0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3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2B2EE">
      <w:pPr>
        <w:bidi w:val="0"/>
        <w:spacing w:line="360" w:lineRule="auto"/>
        <w:jc w:val="left"/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drawing>
          <wp:inline distT="0" distB="0" distL="114300" distR="114300">
            <wp:extent cx="5266690" cy="3335655"/>
            <wp:effectExtent l="0" t="0" r="10160" b="17145"/>
            <wp:docPr id="34" name="图片 34" descr="d740c9f686a22a3aefe38f5822903c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d740c9f686a22a3aefe38f5822903c7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3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F3DF4">
      <w:pPr>
        <w:bidi w:val="0"/>
        <w:spacing w:line="360" w:lineRule="auto"/>
        <w:jc w:val="left"/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drawing>
          <wp:inline distT="0" distB="0" distL="114300" distR="114300">
            <wp:extent cx="5266690" cy="3335655"/>
            <wp:effectExtent l="0" t="0" r="10160" b="17145"/>
            <wp:docPr id="35" name="图片 35" descr="e27043e97e6df83e67ea2c95993570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e27043e97e6df83e67ea2c959935706b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3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32BC9"/>
    <w:rsid w:val="07DA77AB"/>
    <w:rsid w:val="0B1836C6"/>
    <w:rsid w:val="198A7499"/>
    <w:rsid w:val="23F10CA2"/>
    <w:rsid w:val="241F452F"/>
    <w:rsid w:val="30D048A1"/>
    <w:rsid w:val="31AB23D8"/>
    <w:rsid w:val="33AE7CB3"/>
    <w:rsid w:val="3D484E39"/>
    <w:rsid w:val="42E02E70"/>
    <w:rsid w:val="45676745"/>
    <w:rsid w:val="57A50B67"/>
    <w:rsid w:val="673B2979"/>
    <w:rsid w:val="7E13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9" Type="http://schemas.openxmlformats.org/officeDocument/2006/relationships/fontTable" Target="fontTable.xml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31</Pages>
  <Words>841</Words>
  <Characters>957</Characters>
  <Lines>0</Lines>
  <Paragraphs>0</Paragraphs>
  <TotalTime>128</TotalTime>
  <ScaleCrop>false</ScaleCrop>
  <LinksUpToDate>false</LinksUpToDate>
  <CharactersWithSpaces>1006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2026-08-22T12:36:00Z</dcterms:created>
  <dc:creator>Administrator</dc:creator>
  <cp:lastModifiedBy>叶Sam</cp:lastModifiedBy>
  <dcterms:modified xsi:type="dcterms:W3CDTF">2026-09-21T04:22:24Z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eyJoZGlkIjoiYzQwZDQ5ZWFhYWVkYTU1YTc2N2M1ZGMxOGE1ZTk3NzAiLCJ1c2VySWQiOiIxMjQ0OTcyOTgzIn0=</vt:lpwstr>
  </property>
  <property fmtid="{D5CDD505-2E9C-101B-9397-08002B2CF9AE}" pid="4" name="ICV">
    <vt:lpwstr>D4CEC6ED523B4BB9A5D4979AFDEA69BF_13</vt:lpwstr>
  </property>
</Properties>
</file>